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ind w:left="720" w:hanging="360"/>
        <w:rPr>
          <w:b w:val="1"/>
          <w:color w:val="000000"/>
          <w:sz w:val="26"/>
          <w:szCs w:val="26"/>
        </w:rPr>
      </w:pPr>
      <w:bookmarkStart w:colFirst="0" w:colLast="0" w:name="_gxfvklmpvroj" w:id="0"/>
      <w:bookmarkEnd w:id="0"/>
      <w:r w:rsidDel="00000000" w:rsidR="00000000" w:rsidRPr="00000000">
        <w:rPr>
          <w:b w:val="1"/>
          <w:color w:val="000000"/>
          <w:sz w:val="26"/>
          <w:szCs w:val="26"/>
          <w:rtl w:val="0"/>
        </w:rPr>
        <w:t xml:space="preserve">1010 Randolph Avenue LLC Offering Memorandum</w:t>
      </w:r>
    </w:p>
    <w:p w:rsidR="00000000" w:rsidDel="00000000" w:rsidP="00000000" w:rsidRDefault="00000000" w:rsidRPr="00000000" w14:paraId="00000002">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4"/>
        <w:keepNext w:val="0"/>
        <w:keepLines w:val="0"/>
        <w:spacing w:after="40" w:before="240" w:lineRule="auto"/>
        <w:ind w:left="720" w:hanging="360"/>
        <w:rPr>
          <w:b w:val="1"/>
          <w:color w:val="000000"/>
          <w:sz w:val="22"/>
          <w:szCs w:val="22"/>
        </w:rPr>
      </w:pPr>
      <w:bookmarkStart w:colFirst="0" w:colLast="0" w:name="_oga3ofu3p7xz" w:id="1"/>
      <w:bookmarkEnd w:id="1"/>
      <w:r w:rsidDel="00000000" w:rsidR="00000000" w:rsidRPr="00000000">
        <w:rPr>
          <w:b w:val="1"/>
          <w:color w:val="000000"/>
          <w:sz w:val="22"/>
          <w:szCs w:val="22"/>
          <w:rtl w:val="0"/>
        </w:rPr>
        <w:t xml:space="preserve">1. Executive Summary</w:t>
      </w:r>
    </w:p>
    <w:p w:rsidR="00000000" w:rsidDel="00000000" w:rsidP="00000000" w:rsidRDefault="00000000" w:rsidRPr="00000000" w14:paraId="00000004">
      <w:pPr>
        <w:numPr>
          <w:ilvl w:val="0"/>
          <w:numId w:val="14"/>
        </w:numPr>
        <w:spacing w:after="0" w:afterAutospacing="0" w:before="240" w:lineRule="auto"/>
        <w:ind w:left="720" w:hanging="360"/>
      </w:pPr>
      <w:r w:rsidDel="00000000" w:rsidR="00000000" w:rsidRPr="00000000">
        <w:rPr>
          <w:b w:val="1"/>
          <w:rtl w:val="0"/>
        </w:rPr>
        <w:t xml:space="preserve">Project Name</w:t>
      </w:r>
      <w:r w:rsidDel="00000000" w:rsidR="00000000" w:rsidRPr="00000000">
        <w:rPr>
          <w:rtl w:val="0"/>
        </w:rPr>
        <w:t xml:space="preserve">: 1010 Randolph Avenue</w:t>
      </w:r>
    </w:p>
    <w:p w:rsidR="00000000" w:rsidDel="00000000" w:rsidP="00000000" w:rsidRDefault="00000000" w:rsidRPr="00000000" w14:paraId="00000005">
      <w:pPr>
        <w:numPr>
          <w:ilvl w:val="0"/>
          <w:numId w:val="14"/>
        </w:numPr>
        <w:spacing w:after="0" w:afterAutospacing="0" w:before="0" w:beforeAutospacing="0" w:lineRule="auto"/>
        <w:ind w:left="720" w:hanging="360"/>
      </w:pPr>
      <w:r w:rsidDel="00000000" w:rsidR="00000000" w:rsidRPr="00000000">
        <w:rPr>
          <w:b w:val="1"/>
          <w:rtl w:val="0"/>
        </w:rPr>
        <w:t xml:space="preserve">Project Location</w:t>
      </w:r>
      <w:r w:rsidDel="00000000" w:rsidR="00000000" w:rsidRPr="00000000">
        <w:rPr>
          <w:rtl w:val="0"/>
        </w:rPr>
        <w:t xml:space="preserve">: 1010 Randolph Avenue, Pulaski, VA</w:t>
      </w:r>
    </w:p>
    <w:p w:rsidR="00000000" w:rsidDel="00000000" w:rsidP="00000000" w:rsidRDefault="00000000" w:rsidRPr="00000000" w14:paraId="00000006">
      <w:pPr>
        <w:numPr>
          <w:ilvl w:val="0"/>
          <w:numId w:val="14"/>
        </w:numPr>
        <w:spacing w:after="0" w:afterAutospacing="0" w:before="0" w:beforeAutospacing="0" w:lineRule="auto"/>
        <w:ind w:left="720" w:hanging="360"/>
      </w:pPr>
      <w:r w:rsidDel="00000000" w:rsidR="00000000" w:rsidRPr="00000000">
        <w:rPr>
          <w:b w:val="1"/>
          <w:rtl w:val="0"/>
        </w:rPr>
        <w:t xml:space="preserve">Offering Type</w:t>
      </w:r>
      <w:r w:rsidDel="00000000" w:rsidR="00000000" w:rsidRPr="00000000">
        <w:rPr>
          <w:rtl w:val="0"/>
        </w:rPr>
        <w:t xml:space="preserve">: Equity investment in an 8-unit multifamily complex and a single-family home</w:t>
      </w:r>
    </w:p>
    <w:p w:rsidR="00000000" w:rsidDel="00000000" w:rsidP="00000000" w:rsidRDefault="00000000" w:rsidRPr="00000000" w14:paraId="00000007">
      <w:pPr>
        <w:numPr>
          <w:ilvl w:val="0"/>
          <w:numId w:val="14"/>
        </w:numPr>
        <w:spacing w:after="0" w:afterAutospacing="0" w:before="0" w:beforeAutospacing="0" w:lineRule="auto"/>
        <w:ind w:left="720" w:hanging="360"/>
      </w:pPr>
      <w:r w:rsidDel="00000000" w:rsidR="00000000" w:rsidRPr="00000000">
        <w:rPr>
          <w:b w:val="1"/>
          <w:rtl w:val="0"/>
        </w:rPr>
        <w:t xml:space="preserve">Capital Provided via Sponsor: </w:t>
      </w:r>
      <w:r w:rsidDel="00000000" w:rsidR="00000000" w:rsidRPr="00000000">
        <w:rPr>
          <w:rtl w:val="0"/>
        </w:rPr>
        <w:t xml:space="preserve">$100,000</w:t>
      </w:r>
    </w:p>
    <w:p w:rsidR="00000000" w:rsidDel="00000000" w:rsidP="00000000" w:rsidRDefault="00000000" w:rsidRPr="00000000" w14:paraId="00000008">
      <w:pPr>
        <w:numPr>
          <w:ilvl w:val="0"/>
          <w:numId w:val="14"/>
        </w:numPr>
        <w:spacing w:after="0" w:afterAutospacing="0" w:before="0" w:beforeAutospacing="0" w:lineRule="auto"/>
        <w:ind w:left="720" w:hanging="360"/>
      </w:pPr>
      <w:r w:rsidDel="00000000" w:rsidR="00000000" w:rsidRPr="00000000">
        <w:rPr>
          <w:b w:val="1"/>
          <w:rtl w:val="0"/>
        </w:rPr>
        <w:t xml:space="preserve">Total Capital Raise</w:t>
      </w:r>
      <w:r w:rsidDel="00000000" w:rsidR="00000000" w:rsidRPr="00000000">
        <w:rPr>
          <w:rtl w:val="0"/>
        </w:rPr>
        <w:t xml:space="preserve">: $100,000</w:t>
      </w:r>
    </w:p>
    <w:p w:rsidR="00000000" w:rsidDel="00000000" w:rsidP="00000000" w:rsidRDefault="00000000" w:rsidRPr="00000000" w14:paraId="00000009">
      <w:pPr>
        <w:numPr>
          <w:ilvl w:val="0"/>
          <w:numId w:val="14"/>
        </w:numPr>
        <w:spacing w:after="0" w:afterAutospacing="0" w:before="0" w:beforeAutospacing="0" w:lineRule="auto"/>
        <w:ind w:left="720" w:hanging="360"/>
      </w:pPr>
      <w:r w:rsidDel="00000000" w:rsidR="00000000" w:rsidRPr="00000000">
        <w:rPr>
          <w:b w:val="1"/>
          <w:rtl w:val="0"/>
        </w:rPr>
        <w:t xml:space="preserve">Minimum Investment</w:t>
      </w:r>
      <w:r w:rsidDel="00000000" w:rsidR="00000000" w:rsidRPr="00000000">
        <w:rPr>
          <w:rtl w:val="0"/>
        </w:rPr>
        <w:t xml:space="preserve">: $100 (non-accredited), $50,000 (accredited)</w:t>
      </w:r>
    </w:p>
    <w:p w:rsidR="00000000" w:rsidDel="00000000" w:rsidP="00000000" w:rsidRDefault="00000000" w:rsidRPr="00000000" w14:paraId="0000000A">
      <w:pPr>
        <w:numPr>
          <w:ilvl w:val="0"/>
          <w:numId w:val="14"/>
        </w:numPr>
        <w:spacing w:after="0" w:afterAutospacing="0" w:before="0" w:beforeAutospacing="0" w:lineRule="auto"/>
        <w:ind w:left="720" w:hanging="360"/>
      </w:pPr>
      <w:r w:rsidDel="00000000" w:rsidR="00000000" w:rsidRPr="00000000">
        <w:rPr>
          <w:b w:val="1"/>
          <w:rtl w:val="0"/>
        </w:rPr>
        <w:t xml:space="preserve">Investment Term</w:t>
      </w:r>
      <w:r w:rsidDel="00000000" w:rsidR="00000000" w:rsidRPr="00000000">
        <w:rPr>
          <w:rtl w:val="0"/>
        </w:rPr>
        <w:t xml:space="preserve">: 5 years, with evaluations for sale or refinance at years 5, 7, and 10</w:t>
      </w:r>
    </w:p>
    <w:p w:rsidR="00000000" w:rsidDel="00000000" w:rsidP="00000000" w:rsidRDefault="00000000" w:rsidRPr="00000000" w14:paraId="0000000B">
      <w:pPr>
        <w:numPr>
          <w:ilvl w:val="0"/>
          <w:numId w:val="14"/>
        </w:numPr>
        <w:spacing w:after="240" w:before="0" w:beforeAutospacing="0" w:lineRule="auto"/>
        <w:ind w:left="720" w:hanging="360"/>
      </w:pPr>
      <w:r w:rsidDel="00000000" w:rsidR="00000000" w:rsidRPr="00000000">
        <w:rPr>
          <w:b w:val="1"/>
          <w:rtl w:val="0"/>
        </w:rPr>
        <w:t xml:space="preserve">Target Investor</w:t>
      </w:r>
      <w:r w:rsidDel="00000000" w:rsidR="00000000" w:rsidRPr="00000000">
        <w:rPr>
          <w:rtl w:val="0"/>
        </w:rPr>
        <w:t xml:space="preserve">: Accredited and non-accredited investors under Regulation Crowdfunding (Reg CF)</w:t>
      </w:r>
    </w:p>
    <w:p w:rsidR="00000000" w:rsidDel="00000000" w:rsidP="00000000" w:rsidRDefault="00000000" w:rsidRPr="00000000" w14:paraId="0000000C">
      <w:pPr>
        <w:pStyle w:val="Heading4"/>
        <w:keepNext w:val="0"/>
        <w:keepLines w:val="0"/>
        <w:spacing w:after="40" w:before="240" w:lineRule="auto"/>
        <w:ind w:left="720" w:hanging="360"/>
        <w:rPr>
          <w:b w:val="1"/>
          <w:color w:val="000000"/>
          <w:sz w:val="22"/>
          <w:szCs w:val="22"/>
        </w:rPr>
      </w:pPr>
      <w:bookmarkStart w:colFirst="0" w:colLast="0" w:name="_iqgsxui6u4ig" w:id="2"/>
      <w:bookmarkEnd w:id="2"/>
      <w:r w:rsidDel="00000000" w:rsidR="00000000" w:rsidRPr="00000000">
        <w:rPr>
          <w:b w:val="1"/>
          <w:color w:val="000000"/>
          <w:sz w:val="22"/>
          <w:szCs w:val="22"/>
          <w:rtl w:val="0"/>
        </w:rPr>
        <w:t xml:space="preserve">2. Sponsor Information</w:t>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b w:val="1"/>
          <w:rtl w:val="0"/>
        </w:rPr>
        <w:t xml:space="preserve">Sponsor Name</w:t>
      </w:r>
      <w:r w:rsidDel="00000000" w:rsidR="00000000" w:rsidRPr="00000000">
        <w:rPr>
          <w:rtl w:val="0"/>
        </w:rPr>
        <w:t xml:space="preserve">: Cody Journell, 1010 Randolph Avenue LLC</w:t>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b w:val="1"/>
          <w:rtl w:val="0"/>
        </w:rPr>
        <w:t xml:space="preserve">Sponsor Background</w:t>
      </w:r>
      <w:r w:rsidDel="00000000" w:rsidR="00000000" w:rsidRPr="00000000">
        <w:rPr>
          <w:rtl w:val="0"/>
        </w:rPr>
        <w:t xml:space="preserve">: Cody Journell, through 1010 Randolph Avenue LLC, is an experienced real estate developer with a focus on value-add multifamily properties. He has successfully executed similar projects in the New River Valley and Roanoke Valley areas in Virginia area. His expertise includes managing property acquisitions, overseeing renovations, and optimizing asset performance.</w:t>
      </w:r>
    </w:p>
    <w:p w:rsidR="00000000" w:rsidDel="00000000" w:rsidP="00000000" w:rsidRDefault="00000000" w:rsidRPr="00000000" w14:paraId="0000000F">
      <w:pPr>
        <w:pStyle w:val="Heading4"/>
        <w:keepNext w:val="0"/>
        <w:keepLines w:val="0"/>
        <w:spacing w:after="40" w:before="240" w:lineRule="auto"/>
        <w:ind w:left="720" w:hanging="360"/>
        <w:rPr>
          <w:b w:val="1"/>
          <w:color w:val="000000"/>
          <w:sz w:val="22"/>
          <w:szCs w:val="22"/>
        </w:rPr>
      </w:pPr>
      <w:bookmarkStart w:colFirst="0" w:colLast="0" w:name="_haeo014qyg3" w:id="3"/>
      <w:bookmarkEnd w:id="3"/>
      <w:r w:rsidDel="00000000" w:rsidR="00000000" w:rsidRPr="00000000">
        <w:rPr>
          <w:b w:val="1"/>
          <w:color w:val="000000"/>
          <w:sz w:val="22"/>
          <w:szCs w:val="22"/>
          <w:rtl w:val="0"/>
        </w:rPr>
        <w:t xml:space="preserve">3. Project Overview</w:t>
      </w:r>
    </w:p>
    <w:p w:rsidR="00000000" w:rsidDel="00000000" w:rsidP="00000000" w:rsidRDefault="00000000" w:rsidRPr="00000000" w14:paraId="00000010">
      <w:pPr>
        <w:numPr>
          <w:ilvl w:val="0"/>
          <w:numId w:val="15"/>
        </w:numPr>
        <w:spacing w:after="0" w:afterAutospacing="0" w:before="240" w:lineRule="auto"/>
        <w:ind w:left="720" w:hanging="360"/>
      </w:pPr>
      <w:r w:rsidDel="00000000" w:rsidR="00000000" w:rsidRPr="00000000">
        <w:rPr>
          <w:b w:val="1"/>
          <w:rtl w:val="0"/>
        </w:rPr>
        <w:t xml:space="preserve">Property Description</w:t>
      </w:r>
      <w:r w:rsidDel="00000000" w:rsidR="00000000" w:rsidRPr="00000000">
        <w:rPr>
          <w:rtl w:val="0"/>
        </w:rPr>
        <w:t xml:space="preserve">: The project involves the acquisition and renovation of two apartment buildings with a total of 8 units and a single-family home on the same lot. The units consist of a mix of two 1-bedroom, two 2-bedroom, and four 3-bedroom units, while the single-family home has five bedrooms. This property is located in Pulaski, VA, which offers a high potential for rental growth and property appreciation due to increasing demand for affordable housing.</w:t>
      </w:r>
    </w:p>
    <w:p w:rsidR="00000000" w:rsidDel="00000000" w:rsidP="00000000" w:rsidRDefault="00000000" w:rsidRPr="00000000" w14:paraId="00000011">
      <w:pPr>
        <w:numPr>
          <w:ilvl w:val="0"/>
          <w:numId w:val="15"/>
        </w:numPr>
        <w:spacing w:after="240" w:before="0" w:beforeAutospacing="0" w:lineRule="auto"/>
        <w:ind w:left="720" w:hanging="360"/>
      </w:pPr>
      <w:r w:rsidDel="00000000" w:rsidR="00000000" w:rsidRPr="00000000">
        <w:rPr>
          <w:b w:val="1"/>
          <w:rtl w:val="0"/>
        </w:rPr>
        <w:t xml:space="preserve">Location Benefits</w:t>
      </w:r>
      <w:r w:rsidDel="00000000" w:rsidR="00000000" w:rsidRPr="00000000">
        <w:rPr>
          <w:rtl w:val="0"/>
        </w:rPr>
        <w:t xml:space="preserve">: Pulaski, VA, offers a prime investment opportunity due to its affordability, proximity to growing economic centers, and a housing shortage that is driving demand for rental properties. The property is situated in a developing area that is seeing an influx of renters, particularly families and working professionals.</w:t>
      </w:r>
    </w:p>
    <w:p w:rsidR="00000000" w:rsidDel="00000000" w:rsidP="00000000" w:rsidRDefault="00000000" w:rsidRPr="00000000" w14:paraId="00000012">
      <w:pPr>
        <w:pStyle w:val="Heading4"/>
        <w:keepNext w:val="0"/>
        <w:keepLines w:val="0"/>
        <w:spacing w:after="40" w:before="240" w:lineRule="auto"/>
        <w:ind w:left="720" w:hanging="360"/>
        <w:rPr>
          <w:b w:val="1"/>
          <w:color w:val="000000"/>
          <w:sz w:val="22"/>
          <w:szCs w:val="22"/>
        </w:rPr>
      </w:pPr>
      <w:bookmarkStart w:colFirst="0" w:colLast="0" w:name="_h5hlbk421bpp" w:id="4"/>
      <w:bookmarkEnd w:id="4"/>
      <w:r w:rsidDel="00000000" w:rsidR="00000000" w:rsidRPr="00000000">
        <w:rPr>
          <w:b w:val="1"/>
          <w:color w:val="000000"/>
          <w:sz w:val="22"/>
          <w:szCs w:val="22"/>
          <w:rtl w:val="0"/>
        </w:rPr>
        <w:t xml:space="preserve">4. Investment Strategy</w:t>
      </w:r>
    </w:p>
    <w:p w:rsidR="00000000" w:rsidDel="00000000" w:rsidP="00000000" w:rsidRDefault="00000000" w:rsidRPr="00000000" w14:paraId="00000013">
      <w:pPr>
        <w:numPr>
          <w:ilvl w:val="0"/>
          <w:numId w:val="16"/>
        </w:numPr>
        <w:spacing w:after="0" w:afterAutospacing="0" w:before="240" w:lineRule="auto"/>
        <w:ind w:left="720" w:hanging="360"/>
      </w:pPr>
      <w:r w:rsidDel="00000000" w:rsidR="00000000" w:rsidRPr="00000000">
        <w:rPr>
          <w:b w:val="1"/>
          <w:rtl w:val="0"/>
        </w:rPr>
        <w:t xml:space="preserve">Acquisition Strategy</w:t>
      </w:r>
      <w:r w:rsidDel="00000000" w:rsidR="00000000" w:rsidRPr="00000000">
        <w:rPr>
          <w:rtl w:val="0"/>
        </w:rPr>
        <w:t xml:space="preserve">: The property was purchased for $505,000, with a combination of investor equity and financing. A construction budget of $320,000 has been allocated to refurbish the buildings and bring them to market-standard condition. The renovations will focus on increasing rental income by improving the property's appeal and functionality.</w:t>
      </w:r>
    </w:p>
    <w:p w:rsidR="00000000" w:rsidDel="00000000" w:rsidP="00000000" w:rsidRDefault="00000000" w:rsidRPr="00000000" w14:paraId="00000014">
      <w:pPr>
        <w:numPr>
          <w:ilvl w:val="0"/>
          <w:numId w:val="16"/>
        </w:numPr>
        <w:spacing w:after="0" w:afterAutospacing="0" w:before="0" w:beforeAutospacing="0" w:lineRule="auto"/>
        <w:ind w:left="720" w:hanging="360"/>
      </w:pPr>
      <w:r w:rsidDel="00000000" w:rsidR="00000000" w:rsidRPr="00000000">
        <w:rPr>
          <w:b w:val="1"/>
          <w:rtl w:val="0"/>
        </w:rPr>
        <w:t xml:space="preserve">Exit Strategy</w:t>
      </w:r>
      <w:r w:rsidDel="00000000" w:rsidR="00000000" w:rsidRPr="00000000">
        <w:rPr>
          <w:rtl w:val="0"/>
        </w:rPr>
        <w:t xml:space="preserve">: The plan is to hold the property for 5 years, with options to sell or refinance in years 5, 7, or 10, depending on market conditions. Investors will receive a share of net cash flow during the hold period, as well as a return of capital and profits upon exit.</w:t>
      </w:r>
    </w:p>
    <w:p w:rsidR="00000000" w:rsidDel="00000000" w:rsidP="00000000" w:rsidRDefault="00000000" w:rsidRPr="00000000" w14:paraId="00000015">
      <w:pPr>
        <w:numPr>
          <w:ilvl w:val="0"/>
          <w:numId w:val="16"/>
        </w:numPr>
        <w:spacing w:after="240" w:before="0" w:beforeAutospacing="0" w:lineRule="auto"/>
        <w:ind w:left="720" w:hanging="360"/>
      </w:pPr>
      <w:r w:rsidDel="00000000" w:rsidR="00000000" w:rsidRPr="00000000">
        <w:rPr>
          <w:b w:val="1"/>
          <w:rtl w:val="0"/>
        </w:rPr>
        <w:t xml:space="preserve">Target Return</w:t>
      </w:r>
      <w:r w:rsidDel="00000000" w:rsidR="00000000" w:rsidRPr="00000000">
        <w:rPr>
          <w:rtl w:val="0"/>
        </w:rPr>
        <w:t xml:space="preserve">: Investors are projected to achieve an equity increase of approximately 101.49% over the 5-year holding period. Distributions will be made quarterly based on available cash flow.</w:t>
      </w:r>
    </w:p>
    <w:p w:rsidR="00000000" w:rsidDel="00000000" w:rsidP="00000000" w:rsidRDefault="00000000" w:rsidRPr="00000000" w14:paraId="00000016">
      <w:pPr>
        <w:pStyle w:val="Heading4"/>
        <w:keepNext w:val="0"/>
        <w:keepLines w:val="0"/>
        <w:spacing w:after="40" w:before="240" w:lineRule="auto"/>
        <w:ind w:left="720" w:hanging="360"/>
        <w:rPr>
          <w:b w:val="1"/>
          <w:color w:val="000000"/>
          <w:sz w:val="22"/>
          <w:szCs w:val="22"/>
        </w:rPr>
      </w:pPr>
      <w:bookmarkStart w:colFirst="0" w:colLast="0" w:name="_15ha0talb9vt" w:id="5"/>
      <w:bookmarkEnd w:id="5"/>
      <w:r w:rsidDel="00000000" w:rsidR="00000000" w:rsidRPr="00000000">
        <w:rPr>
          <w:b w:val="1"/>
          <w:color w:val="000000"/>
          <w:sz w:val="22"/>
          <w:szCs w:val="22"/>
          <w:rtl w:val="0"/>
        </w:rPr>
        <w:t xml:space="preserve">5. Use of Funds</w:t>
      </w:r>
    </w:p>
    <w:p w:rsidR="00000000" w:rsidDel="00000000" w:rsidP="00000000" w:rsidRDefault="00000000" w:rsidRPr="00000000" w14:paraId="00000017">
      <w:pPr>
        <w:spacing w:after="240" w:before="240" w:lineRule="auto"/>
        <w:rPr/>
      </w:pPr>
      <w:r w:rsidDel="00000000" w:rsidR="00000000" w:rsidRPr="00000000">
        <w:rPr>
          <w:rtl w:val="0"/>
        </w:rPr>
        <w:t xml:space="preserve">The capital raised will be used to fund the following key areas of the project:</w:t>
      </w:r>
    </w:p>
    <w:p w:rsidR="00000000" w:rsidDel="00000000" w:rsidP="00000000" w:rsidRDefault="00000000" w:rsidRPr="00000000" w14:paraId="00000018">
      <w:pPr>
        <w:numPr>
          <w:ilvl w:val="0"/>
          <w:numId w:val="5"/>
        </w:numPr>
        <w:spacing w:after="240" w:before="240" w:lineRule="auto"/>
        <w:ind w:left="720" w:hanging="360"/>
      </w:pPr>
      <w:r w:rsidDel="00000000" w:rsidR="00000000" w:rsidRPr="00000000">
        <w:rPr>
          <w:b w:val="1"/>
          <w:rtl w:val="0"/>
        </w:rPr>
        <w:t xml:space="preserve">Total Capital Raise</w:t>
      </w:r>
      <w:r w:rsidDel="00000000" w:rsidR="00000000" w:rsidRPr="00000000">
        <w:rPr>
          <w:rtl w:val="0"/>
        </w:rPr>
        <w:t xml:space="preserve">: </w:t>
      </w:r>
      <w:r w:rsidDel="00000000" w:rsidR="00000000" w:rsidRPr="00000000">
        <w:rPr>
          <w:rtl w:val="0"/>
        </w:rPr>
        <w:t xml:space="preserve">$100,000 (equity contribution)</w:t>
      </w:r>
      <w:r w:rsidDel="00000000" w:rsidR="00000000" w:rsidRPr="00000000">
        <w:rPr>
          <w:rtl w:val="0"/>
        </w:rPr>
      </w:r>
    </w:p>
    <w:p w:rsidR="00000000" w:rsidDel="00000000" w:rsidP="00000000" w:rsidRDefault="00000000" w:rsidRPr="00000000" w14:paraId="00000019">
      <w:pPr>
        <w:pStyle w:val="Heading5"/>
        <w:keepNext w:val="0"/>
        <w:keepLines w:val="0"/>
        <w:spacing w:after="40" w:before="220" w:lineRule="auto"/>
        <w:ind w:left="720" w:hanging="360"/>
        <w:rPr>
          <w:b w:val="1"/>
          <w:color w:val="000000"/>
          <w:sz w:val="20"/>
          <w:szCs w:val="20"/>
        </w:rPr>
      </w:pPr>
      <w:bookmarkStart w:colFirst="0" w:colLast="0" w:name="_bpnikbb3pfnb" w:id="6"/>
      <w:bookmarkEnd w:id="6"/>
      <w:r w:rsidDel="00000000" w:rsidR="00000000" w:rsidRPr="00000000">
        <w:rPr>
          <w:b w:val="1"/>
          <w:color w:val="000000"/>
          <w:sz w:val="20"/>
          <w:szCs w:val="20"/>
          <w:rtl w:val="0"/>
        </w:rPr>
        <w:t xml:space="preserve">1. Acquisition Costs: $25,000</w:t>
      </w:r>
    </w:p>
    <w:p w:rsidR="00000000" w:rsidDel="00000000" w:rsidP="00000000" w:rsidRDefault="00000000" w:rsidRPr="00000000" w14:paraId="0000001A">
      <w:pPr>
        <w:numPr>
          <w:ilvl w:val="0"/>
          <w:numId w:val="3"/>
        </w:numPr>
        <w:spacing w:after="240" w:before="240" w:lineRule="auto"/>
        <w:ind w:left="720" w:hanging="360"/>
      </w:pPr>
      <w:r w:rsidDel="00000000" w:rsidR="00000000" w:rsidRPr="00000000">
        <w:rPr>
          <w:rtl w:val="0"/>
        </w:rPr>
        <w:t xml:space="preserve">The down payment for the property purchase. The property was acquired for $505,000, with a loan secured for the balance.</w:t>
      </w:r>
    </w:p>
    <w:p w:rsidR="00000000" w:rsidDel="00000000" w:rsidP="00000000" w:rsidRDefault="00000000" w:rsidRPr="00000000" w14:paraId="0000001B">
      <w:pPr>
        <w:pStyle w:val="Heading5"/>
        <w:keepNext w:val="0"/>
        <w:keepLines w:val="0"/>
        <w:spacing w:after="40" w:before="220" w:lineRule="auto"/>
        <w:ind w:left="720" w:hanging="360"/>
        <w:rPr>
          <w:b w:val="1"/>
          <w:color w:val="000000"/>
          <w:sz w:val="20"/>
          <w:szCs w:val="20"/>
        </w:rPr>
      </w:pPr>
      <w:bookmarkStart w:colFirst="0" w:colLast="0" w:name="_gfnoa3bs4qzl" w:id="7"/>
      <w:bookmarkEnd w:id="7"/>
      <w:r w:rsidDel="00000000" w:rsidR="00000000" w:rsidRPr="00000000">
        <w:rPr>
          <w:b w:val="1"/>
          <w:color w:val="000000"/>
          <w:sz w:val="20"/>
          <w:szCs w:val="20"/>
          <w:rtl w:val="0"/>
        </w:rPr>
        <w:t xml:space="preserve">2. Construction and Renovation Costs: $320,000</w:t>
      </w:r>
    </w:p>
    <w:p w:rsidR="00000000" w:rsidDel="00000000" w:rsidP="00000000" w:rsidRDefault="00000000" w:rsidRPr="00000000" w14:paraId="0000001C">
      <w:pPr>
        <w:numPr>
          <w:ilvl w:val="0"/>
          <w:numId w:val="6"/>
        </w:numPr>
        <w:spacing w:after="0" w:afterAutospacing="0" w:before="240" w:lineRule="auto"/>
        <w:ind w:left="720" w:hanging="360"/>
      </w:pPr>
      <w:r w:rsidDel="00000000" w:rsidR="00000000" w:rsidRPr="00000000">
        <w:rPr>
          <w:rtl w:val="0"/>
        </w:rPr>
        <w:t xml:space="preserve">Major upgrades to the interior and exterior of the units, including:</w:t>
      </w:r>
    </w:p>
    <w:p w:rsidR="00000000" w:rsidDel="00000000" w:rsidP="00000000" w:rsidRDefault="00000000" w:rsidRPr="00000000" w14:paraId="0000001D">
      <w:pPr>
        <w:numPr>
          <w:ilvl w:val="1"/>
          <w:numId w:val="6"/>
        </w:numPr>
        <w:spacing w:after="0" w:afterAutospacing="0" w:before="0" w:beforeAutospacing="0" w:lineRule="auto"/>
        <w:ind w:left="1440" w:hanging="360"/>
      </w:pPr>
      <w:r w:rsidDel="00000000" w:rsidR="00000000" w:rsidRPr="00000000">
        <w:rPr>
          <w:rtl w:val="0"/>
        </w:rPr>
        <w:t xml:space="preserve">New electrical and plumbing systems</w:t>
      </w:r>
    </w:p>
    <w:p w:rsidR="00000000" w:rsidDel="00000000" w:rsidP="00000000" w:rsidRDefault="00000000" w:rsidRPr="00000000" w14:paraId="0000001E">
      <w:pPr>
        <w:numPr>
          <w:ilvl w:val="1"/>
          <w:numId w:val="6"/>
        </w:numPr>
        <w:spacing w:after="0" w:afterAutospacing="0" w:before="0" w:beforeAutospacing="0" w:lineRule="auto"/>
        <w:ind w:left="1440" w:hanging="360"/>
      </w:pPr>
      <w:r w:rsidDel="00000000" w:rsidR="00000000" w:rsidRPr="00000000">
        <w:rPr>
          <w:rtl w:val="0"/>
        </w:rPr>
        <w:t xml:space="preserve">Roof repairs and exterior improvements</w:t>
      </w:r>
    </w:p>
    <w:p w:rsidR="00000000" w:rsidDel="00000000" w:rsidP="00000000" w:rsidRDefault="00000000" w:rsidRPr="00000000" w14:paraId="0000001F">
      <w:pPr>
        <w:numPr>
          <w:ilvl w:val="1"/>
          <w:numId w:val="6"/>
        </w:numPr>
        <w:spacing w:after="0" w:afterAutospacing="0" w:before="0" w:beforeAutospacing="0" w:lineRule="auto"/>
        <w:ind w:left="1440" w:hanging="360"/>
      </w:pPr>
      <w:r w:rsidDel="00000000" w:rsidR="00000000" w:rsidRPr="00000000">
        <w:rPr>
          <w:rtl w:val="0"/>
        </w:rPr>
        <w:t xml:space="preserve">Interior renovations such as flooring, painting, and fixtures to make the units more competitive in the rental market</w:t>
      </w:r>
    </w:p>
    <w:p w:rsidR="00000000" w:rsidDel="00000000" w:rsidP="00000000" w:rsidRDefault="00000000" w:rsidRPr="00000000" w14:paraId="00000020">
      <w:pPr>
        <w:numPr>
          <w:ilvl w:val="1"/>
          <w:numId w:val="6"/>
        </w:numPr>
        <w:spacing w:after="240" w:before="0" w:beforeAutospacing="0" w:lineRule="auto"/>
        <w:ind w:left="1440" w:hanging="360"/>
      </w:pPr>
      <w:r w:rsidDel="00000000" w:rsidR="00000000" w:rsidRPr="00000000">
        <w:rPr>
          <w:rtl w:val="0"/>
        </w:rPr>
        <w:t xml:space="preserve">Landscaping and parking improvements to enhance curb appeal</w:t>
      </w:r>
    </w:p>
    <w:p w:rsidR="00000000" w:rsidDel="00000000" w:rsidP="00000000" w:rsidRDefault="00000000" w:rsidRPr="00000000" w14:paraId="00000021">
      <w:pPr>
        <w:pStyle w:val="Heading5"/>
        <w:keepNext w:val="0"/>
        <w:keepLines w:val="0"/>
        <w:spacing w:after="40" w:before="220" w:lineRule="auto"/>
        <w:ind w:left="720" w:hanging="360"/>
        <w:rPr>
          <w:b w:val="1"/>
          <w:color w:val="000000"/>
          <w:sz w:val="20"/>
          <w:szCs w:val="20"/>
        </w:rPr>
      </w:pPr>
      <w:bookmarkStart w:colFirst="0" w:colLast="0" w:name="_9renv6cpxipz" w:id="8"/>
      <w:bookmarkEnd w:id="8"/>
      <w:r w:rsidDel="00000000" w:rsidR="00000000" w:rsidRPr="00000000">
        <w:rPr>
          <w:b w:val="1"/>
          <w:color w:val="000000"/>
          <w:sz w:val="20"/>
          <w:szCs w:val="20"/>
          <w:rtl w:val="0"/>
        </w:rPr>
        <w:t xml:space="preserve">3. Financing and Carrying Costs: $30,000</w:t>
      </w:r>
    </w:p>
    <w:p w:rsidR="00000000" w:rsidDel="00000000" w:rsidP="00000000" w:rsidRDefault="00000000" w:rsidRPr="00000000" w14:paraId="00000022">
      <w:pPr>
        <w:numPr>
          <w:ilvl w:val="0"/>
          <w:numId w:val="8"/>
        </w:numPr>
        <w:spacing w:after="240" w:before="240" w:lineRule="auto"/>
        <w:ind w:left="720" w:hanging="360"/>
      </w:pPr>
      <w:r w:rsidDel="00000000" w:rsidR="00000000" w:rsidRPr="00000000">
        <w:rPr>
          <w:rtl w:val="0"/>
        </w:rPr>
        <w:t xml:space="preserve">This covers interest payments on the construction loan, property taxes, insurance, and other operating expenses during the stabilization period.</w:t>
      </w:r>
    </w:p>
    <w:p w:rsidR="00000000" w:rsidDel="00000000" w:rsidP="00000000" w:rsidRDefault="00000000" w:rsidRPr="00000000" w14:paraId="00000023">
      <w:pPr>
        <w:pStyle w:val="Heading5"/>
        <w:keepNext w:val="0"/>
        <w:keepLines w:val="0"/>
        <w:spacing w:after="40" w:before="220" w:lineRule="auto"/>
        <w:ind w:left="720" w:hanging="360"/>
        <w:rPr>
          <w:b w:val="1"/>
          <w:color w:val="000000"/>
          <w:sz w:val="20"/>
          <w:szCs w:val="20"/>
        </w:rPr>
      </w:pPr>
      <w:bookmarkStart w:colFirst="0" w:colLast="0" w:name="_7warzv3sh01o" w:id="9"/>
      <w:bookmarkEnd w:id="9"/>
      <w:r w:rsidDel="00000000" w:rsidR="00000000" w:rsidRPr="00000000">
        <w:rPr>
          <w:b w:val="1"/>
          <w:color w:val="000000"/>
          <w:sz w:val="20"/>
          <w:szCs w:val="20"/>
          <w:rtl w:val="0"/>
        </w:rPr>
        <w:t xml:space="preserve">4. Closing Costs and Fees: $25,000</w:t>
      </w:r>
    </w:p>
    <w:p w:rsidR="00000000" w:rsidDel="00000000" w:rsidP="00000000" w:rsidRDefault="00000000" w:rsidRPr="00000000" w14:paraId="00000024">
      <w:pPr>
        <w:numPr>
          <w:ilvl w:val="0"/>
          <w:numId w:val="11"/>
        </w:numPr>
        <w:spacing w:after="240" w:before="240" w:lineRule="auto"/>
        <w:ind w:left="720" w:hanging="360"/>
      </w:pPr>
      <w:r w:rsidDel="00000000" w:rsidR="00000000" w:rsidRPr="00000000">
        <w:rPr>
          <w:rtl w:val="0"/>
        </w:rPr>
        <w:t xml:space="preserve">Legal fees, title insurance, appraisal fees, and other professional services related to the acquisition of the property.</w:t>
      </w:r>
    </w:p>
    <w:p w:rsidR="00000000" w:rsidDel="00000000" w:rsidP="00000000" w:rsidRDefault="00000000" w:rsidRPr="00000000" w14:paraId="00000025">
      <w:pPr>
        <w:pStyle w:val="Heading5"/>
        <w:keepNext w:val="0"/>
        <w:keepLines w:val="0"/>
        <w:spacing w:after="40" w:before="220" w:lineRule="auto"/>
        <w:ind w:left="720" w:hanging="360"/>
        <w:rPr>
          <w:b w:val="1"/>
          <w:color w:val="000000"/>
          <w:sz w:val="20"/>
          <w:szCs w:val="20"/>
        </w:rPr>
      </w:pPr>
      <w:bookmarkStart w:colFirst="0" w:colLast="0" w:name="_5frauq21v1wt" w:id="10"/>
      <w:bookmarkEnd w:id="10"/>
      <w:r w:rsidDel="00000000" w:rsidR="00000000" w:rsidRPr="00000000">
        <w:rPr>
          <w:b w:val="1"/>
          <w:color w:val="000000"/>
          <w:sz w:val="20"/>
          <w:szCs w:val="20"/>
          <w:rtl w:val="0"/>
        </w:rPr>
        <w:t xml:space="preserve">5. Contingency: $10,000</w:t>
      </w:r>
    </w:p>
    <w:p w:rsidR="00000000" w:rsidDel="00000000" w:rsidP="00000000" w:rsidRDefault="00000000" w:rsidRPr="00000000" w14:paraId="00000026">
      <w:pPr>
        <w:numPr>
          <w:ilvl w:val="0"/>
          <w:numId w:val="4"/>
        </w:numPr>
        <w:spacing w:after="240" w:before="240" w:lineRule="auto"/>
        <w:ind w:left="720" w:hanging="360"/>
      </w:pPr>
      <w:r w:rsidDel="00000000" w:rsidR="00000000" w:rsidRPr="00000000">
        <w:rPr>
          <w:rtl w:val="0"/>
        </w:rPr>
        <w:t xml:space="preserve">A contingency reserve for unexpected expenses or delays during construction.</w:t>
      </w:r>
    </w:p>
    <w:p w:rsidR="00000000" w:rsidDel="00000000" w:rsidP="00000000" w:rsidRDefault="00000000" w:rsidRPr="00000000" w14:paraId="00000027">
      <w:pPr>
        <w:pStyle w:val="Heading4"/>
        <w:keepNext w:val="0"/>
        <w:keepLines w:val="0"/>
        <w:spacing w:after="40" w:before="240" w:lineRule="auto"/>
        <w:ind w:left="720" w:hanging="360"/>
        <w:rPr>
          <w:b w:val="1"/>
          <w:color w:val="000000"/>
          <w:sz w:val="22"/>
          <w:szCs w:val="22"/>
        </w:rPr>
      </w:pPr>
      <w:bookmarkStart w:colFirst="0" w:colLast="0" w:name="_mhpp2wcxwbyp" w:id="11"/>
      <w:bookmarkEnd w:id="11"/>
      <w:r w:rsidDel="00000000" w:rsidR="00000000" w:rsidRPr="00000000">
        <w:rPr>
          <w:b w:val="1"/>
          <w:color w:val="000000"/>
          <w:sz w:val="22"/>
          <w:szCs w:val="22"/>
          <w:rtl w:val="0"/>
        </w:rPr>
        <w:t xml:space="preserve">6. Financial Overview</w:t>
      </w:r>
    </w:p>
    <w:p w:rsidR="00000000" w:rsidDel="00000000" w:rsidP="00000000" w:rsidRDefault="00000000" w:rsidRPr="00000000" w14:paraId="00000028">
      <w:pPr>
        <w:numPr>
          <w:ilvl w:val="0"/>
          <w:numId w:val="10"/>
        </w:numPr>
        <w:spacing w:after="0" w:afterAutospacing="0" w:before="240" w:lineRule="auto"/>
        <w:ind w:left="720" w:hanging="360"/>
      </w:pPr>
      <w:r w:rsidDel="00000000" w:rsidR="00000000" w:rsidRPr="00000000">
        <w:rPr>
          <w:b w:val="1"/>
          <w:rtl w:val="0"/>
        </w:rPr>
        <w:t xml:space="preserve">Sources and Uses of Funds</w:t>
      </w:r>
      <w:r w:rsidDel="00000000" w:rsidR="00000000" w:rsidRPr="00000000">
        <w:rPr>
          <w:rtl w:val="0"/>
        </w:rPr>
        <w:t xml:space="preserve">:</w:t>
      </w:r>
    </w:p>
    <w:p w:rsidR="00000000" w:rsidDel="00000000" w:rsidP="00000000" w:rsidRDefault="00000000" w:rsidRPr="00000000" w14:paraId="00000029">
      <w:pPr>
        <w:numPr>
          <w:ilvl w:val="1"/>
          <w:numId w:val="10"/>
        </w:numPr>
        <w:spacing w:after="0" w:afterAutospacing="0" w:before="0" w:beforeAutospacing="0" w:lineRule="auto"/>
        <w:ind w:left="1440" w:hanging="360"/>
      </w:pPr>
      <w:r w:rsidDel="00000000" w:rsidR="00000000" w:rsidRPr="00000000">
        <w:rPr>
          <w:b w:val="1"/>
          <w:rtl w:val="0"/>
        </w:rPr>
        <w:t xml:space="preserve">Sources</w:t>
      </w:r>
      <w:r w:rsidDel="00000000" w:rsidR="00000000" w:rsidRPr="00000000">
        <w:rPr>
          <w:rtl w:val="0"/>
        </w:rPr>
        <w:t xml:space="preserve">:</w:t>
      </w:r>
    </w:p>
    <w:p w:rsidR="00000000" w:rsidDel="00000000" w:rsidP="00000000" w:rsidRDefault="00000000" w:rsidRPr="00000000" w14:paraId="0000002A">
      <w:pPr>
        <w:numPr>
          <w:ilvl w:val="2"/>
          <w:numId w:val="10"/>
        </w:numPr>
        <w:spacing w:after="0" w:afterAutospacing="0" w:before="0" w:beforeAutospacing="0" w:lineRule="auto"/>
        <w:ind w:left="2160" w:hanging="360"/>
      </w:pPr>
      <w:r w:rsidDel="00000000" w:rsidR="00000000" w:rsidRPr="00000000">
        <w:rPr>
          <w:rtl w:val="0"/>
        </w:rPr>
        <w:t xml:space="preserve">Investor Equity: $100,000</w:t>
      </w:r>
    </w:p>
    <w:p w:rsidR="00000000" w:rsidDel="00000000" w:rsidP="00000000" w:rsidRDefault="00000000" w:rsidRPr="00000000" w14:paraId="0000002B">
      <w:pPr>
        <w:numPr>
          <w:ilvl w:val="2"/>
          <w:numId w:val="10"/>
        </w:numPr>
        <w:spacing w:after="0" w:afterAutospacing="0" w:before="0" w:beforeAutospacing="0" w:lineRule="auto"/>
        <w:ind w:left="2160" w:hanging="360"/>
      </w:pPr>
      <w:r w:rsidDel="00000000" w:rsidR="00000000" w:rsidRPr="00000000">
        <w:rPr>
          <w:rtl w:val="0"/>
        </w:rPr>
        <w:t xml:space="preserve">Sponsor and Contractor Equity: $100,000</w:t>
      </w:r>
    </w:p>
    <w:p w:rsidR="00000000" w:rsidDel="00000000" w:rsidP="00000000" w:rsidRDefault="00000000" w:rsidRPr="00000000" w14:paraId="0000002C">
      <w:pPr>
        <w:numPr>
          <w:ilvl w:val="2"/>
          <w:numId w:val="10"/>
        </w:numPr>
        <w:spacing w:after="0" w:afterAutospacing="0" w:before="0" w:beforeAutospacing="0" w:lineRule="auto"/>
        <w:ind w:left="2160" w:hanging="360"/>
      </w:pPr>
      <w:r w:rsidDel="00000000" w:rsidR="00000000" w:rsidRPr="00000000">
        <w:rPr>
          <w:rtl w:val="0"/>
        </w:rPr>
        <w:t xml:space="preserve">Loan Financing: $480,000</w:t>
      </w:r>
    </w:p>
    <w:p w:rsidR="00000000" w:rsidDel="00000000" w:rsidP="00000000" w:rsidRDefault="00000000" w:rsidRPr="00000000" w14:paraId="0000002D">
      <w:pPr>
        <w:numPr>
          <w:ilvl w:val="2"/>
          <w:numId w:val="10"/>
        </w:numPr>
        <w:spacing w:after="0" w:afterAutospacing="0" w:before="0" w:beforeAutospacing="0" w:lineRule="auto"/>
        <w:ind w:left="2160" w:hanging="360"/>
      </w:pPr>
      <w:r w:rsidDel="00000000" w:rsidR="00000000" w:rsidRPr="00000000">
        <w:rPr>
          <w:rtl w:val="0"/>
        </w:rPr>
        <w:t xml:space="preserve">Construction Loan: $150,000</w:t>
      </w:r>
    </w:p>
    <w:p w:rsidR="00000000" w:rsidDel="00000000" w:rsidP="00000000" w:rsidRDefault="00000000" w:rsidRPr="00000000" w14:paraId="0000002E">
      <w:pPr>
        <w:numPr>
          <w:ilvl w:val="1"/>
          <w:numId w:val="10"/>
        </w:numPr>
        <w:spacing w:after="0" w:afterAutospacing="0" w:before="0" w:beforeAutospacing="0" w:lineRule="auto"/>
        <w:ind w:left="1440" w:hanging="360"/>
      </w:pPr>
      <w:r w:rsidDel="00000000" w:rsidR="00000000" w:rsidRPr="00000000">
        <w:rPr>
          <w:b w:val="1"/>
          <w:rtl w:val="0"/>
        </w:rPr>
        <w:t xml:space="preserve">Uses</w:t>
      </w:r>
      <w:r w:rsidDel="00000000" w:rsidR="00000000" w:rsidRPr="00000000">
        <w:rPr>
          <w:rtl w:val="0"/>
        </w:rPr>
        <w:t xml:space="preserve">:</w:t>
      </w:r>
    </w:p>
    <w:p w:rsidR="00000000" w:rsidDel="00000000" w:rsidP="00000000" w:rsidRDefault="00000000" w:rsidRPr="00000000" w14:paraId="0000002F">
      <w:pPr>
        <w:numPr>
          <w:ilvl w:val="2"/>
          <w:numId w:val="10"/>
        </w:numPr>
        <w:spacing w:after="0" w:afterAutospacing="0" w:before="0" w:beforeAutospacing="0" w:lineRule="auto"/>
        <w:ind w:left="2160" w:hanging="360"/>
      </w:pPr>
      <w:r w:rsidDel="00000000" w:rsidR="00000000" w:rsidRPr="00000000">
        <w:rPr>
          <w:rtl w:val="0"/>
        </w:rPr>
        <w:t xml:space="preserve">Property Acquisition: $505,000</w:t>
      </w:r>
    </w:p>
    <w:p w:rsidR="00000000" w:rsidDel="00000000" w:rsidP="00000000" w:rsidRDefault="00000000" w:rsidRPr="00000000" w14:paraId="00000030">
      <w:pPr>
        <w:numPr>
          <w:ilvl w:val="2"/>
          <w:numId w:val="10"/>
        </w:numPr>
        <w:spacing w:after="0" w:afterAutospacing="0" w:before="0" w:beforeAutospacing="0" w:lineRule="auto"/>
        <w:ind w:left="2160" w:hanging="360"/>
      </w:pPr>
      <w:r w:rsidDel="00000000" w:rsidR="00000000" w:rsidRPr="00000000">
        <w:rPr>
          <w:rtl w:val="0"/>
        </w:rPr>
        <w:t xml:space="preserve">Renovations: $320,000</w:t>
      </w:r>
    </w:p>
    <w:p w:rsidR="00000000" w:rsidDel="00000000" w:rsidP="00000000" w:rsidRDefault="00000000" w:rsidRPr="00000000" w14:paraId="00000031">
      <w:pPr>
        <w:numPr>
          <w:ilvl w:val="2"/>
          <w:numId w:val="10"/>
        </w:numPr>
        <w:spacing w:after="0" w:afterAutospacing="0" w:before="0" w:beforeAutospacing="0" w:lineRule="auto"/>
        <w:ind w:left="2160" w:hanging="360"/>
      </w:pPr>
      <w:r w:rsidDel="00000000" w:rsidR="00000000" w:rsidRPr="00000000">
        <w:rPr>
          <w:rtl w:val="0"/>
        </w:rPr>
        <w:t xml:space="preserve">Carrying Costs and Reserves: $30,000</w:t>
      </w:r>
    </w:p>
    <w:p w:rsidR="00000000" w:rsidDel="00000000" w:rsidP="00000000" w:rsidRDefault="00000000" w:rsidRPr="00000000" w14:paraId="00000032">
      <w:pPr>
        <w:numPr>
          <w:ilvl w:val="2"/>
          <w:numId w:val="10"/>
        </w:numPr>
        <w:spacing w:after="0" w:afterAutospacing="0" w:before="0" w:beforeAutospacing="0" w:lineRule="auto"/>
        <w:ind w:left="2160" w:hanging="360"/>
      </w:pPr>
      <w:r w:rsidDel="00000000" w:rsidR="00000000" w:rsidRPr="00000000">
        <w:rPr>
          <w:rtl w:val="0"/>
        </w:rPr>
        <w:t xml:space="preserve">Closing Costs: $25,000</w:t>
      </w:r>
    </w:p>
    <w:p w:rsidR="00000000" w:rsidDel="00000000" w:rsidP="00000000" w:rsidRDefault="00000000" w:rsidRPr="00000000" w14:paraId="00000033">
      <w:pPr>
        <w:numPr>
          <w:ilvl w:val="2"/>
          <w:numId w:val="10"/>
        </w:numPr>
        <w:spacing w:after="0" w:afterAutospacing="0" w:before="0" w:beforeAutospacing="0" w:lineRule="auto"/>
        <w:ind w:left="2160" w:hanging="360"/>
      </w:pPr>
      <w:r w:rsidDel="00000000" w:rsidR="00000000" w:rsidRPr="00000000">
        <w:rPr>
          <w:rtl w:val="0"/>
        </w:rPr>
        <w:t xml:space="preserve">Contingency: $10,000</w:t>
      </w:r>
    </w:p>
    <w:p w:rsidR="00000000" w:rsidDel="00000000" w:rsidP="00000000" w:rsidRDefault="00000000" w:rsidRPr="00000000" w14:paraId="00000034">
      <w:pPr>
        <w:numPr>
          <w:ilvl w:val="0"/>
          <w:numId w:val="10"/>
        </w:numPr>
        <w:spacing w:after="240" w:before="0" w:beforeAutospacing="0" w:lineRule="auto"/>
        <w:ind w:left="720" w:hanging="360"/>
      </w:pPr>
      <w:r w:rsidDel="00000000" w:rsidR="00000000" w:rsidRPr="00000000">
        <w:rPr>
          <w:b w:val="1"/>
          <w:rtl w:val="0"/>
        </w:rPr>
        <w:t xml:space="preserve">Pro Forma Financials</w:t>
      </w:r>
      <w:r w:rsidDel="00000000" w:rsidR="00000000" w:rsidRPr="00000000">
        <w:rPr>
          <w:rtl w:val="0"/>
        </w:rPr>
        <w:t xml:space="preserve">: The property is projected to generate gross annual revenue of $102,000, with operational expenses totaling $14,712. This yields a projected net operating income (NOI) of $80,147 annually. Cash flow will be distributed quarterly, with investors receiving returns based on their equity percentage.</w:t>
      </w:r>
    </w:p>
    <w:p w:rsidR="00000000" w:rsidDel="00000000" w:rsidP="00000000" w:rsidRDefault="00000000" w:rsidRPr="00000000" w14:paraId="00000035">
      <w:pPr>
        <w:pStyle w:val="Heading4"/>
        <w:keepNext w:val="0"/>
        <w:keepLines w:val="0"/>
        <w:spacing w:after="40" w:before="240" w:lineRule="auto"/>
        <w:ind w:left="720" w:hanging="360"/>
        <w:rPr>
          <w:b w:val="1"/>
          <w:color w:val="000000"/>
          <w:sz w:val="22"/>
          <w:szCs w:val="22"/>
        </w:rPr>
      </w:pPr>
      <w:bookmarkStart w:colFirst="0" w:colLast="0" w:name="_hs36fxvwqqvk" w:id="12"/>
      <w:bookmarkEnd w:id="12"/>
      <w:r w:rsidDel="00000000" w:rsidR="00000000" w:rsidRPr="00000000">
        <w:rPr>
          <w:b w:val="1"/>
          <w:color w:val="000000"/>
          <w:sz w:val="22"/>
          <w:szCs w:val="22"/>
          <w:rtl w:val="0"/>
        </w:rPr>
        <w:t xml:space="preserve">7. Legal Structure</w:t>
      </w:r>
    </w:p>
    <w:p w:rsidR="00000000" w:rsidDel="00000000" w:rsidP="00000000" w:rsidRDefault="00000000" w:rsidRPr="00000000" w14:paraId="00000036">
      <w:pPr>
        <w:numPr>
          <w:ilvl w:val="0"/>
          <w:numId w:val="9"/>
        </w:numPr>
        <w:spacing w:after="0" w:afterAutospacing="0" w:before="240" w:lineRule="auto"/>
        <w:ind w:left="720" w:hanging="360"/>
      </w:pPr>
      <w:r w:rsidDel="00000000" w:rsidR="00000000" w:rsidRPr="00000000">
        <w:rPr>
          <w:b w:val="1"/>
          <w:rtl w:val="0"/>
        </w:rPr>
        <w:t xml:space="preserve">Entity Name</w:t>
      </w:r>
      <w:r w:rsidDel="00000000" w:rsidR="00000000" w:rsidRPr="00000000">
        <w:rPr>
          <w:rtl w:val="0"/>
        </w:rPr>
        <w:t xml:space="preserve">: 1010 Randolph Avenue LLC</w:t>
      </w:r>
    </w:p>
    <w:p w:rsidR="00000000" w:rsidDel="00000000" w:rsidP="00000000" w:rsidRDefault="00000000" w:rsidRPr="00000000" w14:paraId="00000037">
      <w:pPr>
        <w:numPr>
          <w:ilvl w:val="0"/>
          <w:numId w:val="9"/>
        </w:numPr>
        <w:spacing w:after="0" w:afterAutospacing="0" w:before="0" w:beforeAutospacing="0" w:lineRule="auto"/>
        <w:ind w:left="720" w:hanging="360"/>
      </w:pPr>
      <w:r w:rsidDel="00000000" w:rsidR="00000000" w:rsidRPr="00000000">
        <w:rPr>
          <w:b w:val="1"/>
          <w:rtl w:val="0"/>
        </w:rPr>
        <w:t xml:space="preserve">Legal Structure</w:t>
      </w:r>
      <w:r w:rsidDel="00000000" w:rsidR="00000000" w:rsidRPr="00000000">
        <w:rPr>
          <w:rtl w:val="0"/>
        </w:rPr>
        <w:t xml:space="preserve">: Limited Liability Company (LLC)​​. Investors will become members of the LLC and own a proportionate share based on their investment. The sponsor retains 55% equity, investors hold 35%, and the contractor holds 10%.</w:t>
      </w:r>
    </w:p>
    <w:p w:rsidR="00000000" w:rsidDel="00000000" w:rsidP="00000000" w:rsidRDefault="00000000" w:rsidRPr="00000000" w14:paraId="00000038">
      <w:pPr>
        <w:numPr>
          <w:ilvl w:val="0"/>
          <w:numId w:val="9"/>
        </w:numPr>
        <w:spacing w:after="240" w:before="0" w:beforeAutospacing="0" w:lineRule="auto"/>
        <w:ind w:left="720" w:hanging="360"/>
      </w:pPr>
      <w:r w:rsidDel="00000000" w:rsidR="00000000" w:rsidRPr="00000000">
        <w:rPr>
          <w:b w:val="1"/>
          <w:rtl w:val="0"/>
        </w:rPr>
        <w:t xml:space="preserve">Operating Agreement</w:t>
      </w:r>
      <w:r w:rsidDel="00000000" w:rsidR="00000000" w:rsidRPr="00000000">
        <w:rPr>
          <w:rtl w:val="0"/>
        </w:rPr>
        <w:t xml:space="preserve">: The LLC is governed by its operating agreement, which outlines the roles, responsibilities, and profit-sharing arrangements between the sponsor, contractor, and investors.</w:t>
      </w:r>
    </w:p>
    <w:p w:rsidR="00000000" w:rsidDel="00000000" w:rsidP="00000000" w:rsidRDefault="00000000" w:rsidRPr="00000000" w14:paraId="00000039">
      <w:pPr>
        <w:pStyle w:val="Heading4"/>
        <w:keepNext w:val="0"/>
        <w:keepLines w:val="0"/>
        <w:spacing w:after="40" w:before="240" w:lineRule="auto"/>
        <w:ind w:left="720" w:hanging="360"/>
        <w:rPr>
          <w:b w:val="1"/>
          <w:color w:val="000000"/>
          <w:sz w:val="22"/>
          <w:szCs w:val="22"/>
        </w:rPr>
      </w:pPr>
      <w:bookmarkStart w:colFirst="0" w:colLast="0" w:name="_9tjck4rtfjda" w:id="13"/>
      <w:bookmarkEnd w:id="13"/>
      <w:r w:rsidDel="00000000" w:rsidR="00000000" w:rsidRPr="00000000">
        <w:rPr>
          <w:b w:val="1"/>
          <w:color w:val="000000"/>
          <w:sz w:val="22"/>
          <w:szCs w:val="22"/>
          <w:rtl w:val="0"/>
        </w:rPr>
        <w:t xml:space="preserve">8. Risk Factors</w:t>
      </w:r>
    </w:p>
    <w:p w:rsidR="00000000" w:rsidDel="00000000" w:rsidP="00000000" w:rsidRDefault="00000000" w:rsidRPr="00000000" w14:paraId="0000003A">
      <w:pPr>
        <w:numPr>
          <w:ilvl w:val="0"/>
          <w:numId w:val="7"/>
        </w:numPr>
        <w:spacing w:after="0" w:afterAutospacing="0" w:before="240" w:lineRule="auto"/>
        <w:ind w:left="720" w:hanging="360"/>
      </w:pPr>
      <w:r w:rsidDel="00000000" w:rsidR="00000000" w:rsidRPr="00000000">
        <w:rPr>
          <w:b w:val="1"/>
          <w:rtl w:val="0"/>
        </w:rPr>
        <w:t xml:space="preserve">Acts of God: </w:t>
      </w:r>
      <w:r w:rsidDel="00000000" w:rsidR="00000000" w:rsidRPr="00000000">
        <w:rPr>
          <w:rtl w:val="0"/>
        </w:rPr>
        <w:t xml:space="preserve">Being a real-world asset acts uncontrollable by the sponsor, such as fire, flooding, storms, ect could result in full or partial loss of investment. </w:t>
      </w:r>
    </w:p>
    <w:p w:rsidR="00000000" w:rsidDel="00000000" w:rsidP="00000000" w:rsidRDefault="00000000" w:rsidRPr="00000000" w14:paraId="0000003B">
      <w:pPr>
        <w:numPr>
          <w:ilvl w:val="0"/>
          <w:numId w:val="7"/>
        </w:numPr>
        <w:spacing w:after="0" w:afterAutospacing="0" w:before="0" w:beforeAutospacing="0" w:lineRule="auto"/>
        <w:ind w:left="720" w:hanging="360"/>
      </w:pPr>
      <w:r w:rsidDel="00000000" w:rsidR="00000000" w:rsidRPr="00000000">
        <w:rPr>
          <w:b w:val="1"/>
          <w:rtl w:val="0"/>
        </w:rPr>
        <w:t xml:space="preserve">Project Risk: </w:t>
      </w:r>
      <w:r w:rsidDel="00000000" w:rsidR="00000000" w:rsidRPr="00000000">
        <w:rPr>
          <w:rtl w:val="0"/>
        </w:rPr>
        <w:t xml:space="preserve">It is a low but viable risk that the project may go over budget resulting in additional capital requirements that may dilute current investors. </w:t>
      </w:r>
    </w:p>
    <w:p w:rsidR="00000000" w:rsidDel="00000000" w:rsidP="00000000" w:rsidRDefault="00000000" w:rsidRPr="00000000" w14:paraId="0000003C">
      <w:pPr>
        <w:numPr>
          <w:ilvl w:val="0"/>
          <w:numId w:val="7"/>
        </w:numPr>
        <w:spacing w:after="0" w:afterAutospacing="0" w:before="0" w:beforeAutospacing="0" w:lineRule="auto"/>
        <w:ind w:left="720" w:hanging="360"/>
      </w:pPr>
      <w:r w:rsidDel="00000000" w:rsidR="00000000" w:rsidRPr="00000000">
        <w:rPr>
          <w:b w:val="1"/>
          <w:rtl w:val="0"/>
        </w:rPr>
        <w:t xml:space="preserve">Market Risk</w:t>
      </w:r>
      <w:r w:rsidDel="00000000" w:rsidR="00000000" w:rsidRPr="00000000">
        <w:rPr>
          <w:rtl w:val="0"/>
        </w:rPr>
        <w:t xml:space="preserve">: The property’s value and rental income are subject to fluctuations in the local real estate market. Changes in interest rates, economic downturns, or local competition may impact profitability.</w:t>
      </w:r>
    </w:p>
    <w:p w:rsidR="00000000" w:rsidDel="00000000" w:rsidP="00000000" w:rsidRDefault="00000000" w:rsidRPr="00000000" w14:paraId="0000003D">
      <w:pPr>
        <w:numPr>
          <w:ilvl w:val="0"/>
          <w:numId w:val="7"/>
        </w:numPr>
        <w:spacing w:after="0" w:afterAutospacing="0" w:before="0" w:beforeAutospacing="0" w:lineRule="auto"/>
        <w:ind w:left="720" w:hanging="360"/>
      </w:pPr>
      <w:r w:rsidDel="00000000" w:rsidR="00000000" w:rsidRPr="00000000">
        <w:rPr>
          <w:b w:val="1"/>
          <w:rtl w:val="0"/>
        </w:rPr>
        <w:t xml:space="preserve">Operational Risk</w:t>
      </w:r>
      <w:r w:rsidDel="00000000" w:rsidR="00000000" w:rsidRPr="00000000">
        <w:rPr>
          <w:rtl w:val="0"/>
        </w:rPr>
        <w:t xml:space="preserve">: Delays in renovations, leasing, or unforeseen construction issues could affect returns.</w:t>
      </w:r>
    </w:p>
    <w:p w:rsidR="00000000" w:rsidDel="00000000" w:rsidP="00000000" w:rsidRDefault="00000000" w:rsidRPr="00000000" w14:paraId="0000003E">
      <w:pPr>
        <w:numPr>
          <w:ilvl w:val="0"/>
          <w:numId w:val="7"/>
        </w:numPr>
        <w:spacing w:after="240" w:before="0" w:beforeAutospacing="0" w:lineRule="auto"/>
        <w:ind w:left="720" w:hanging="360"/>
      </w:pPr>
      <w:r w:rsidDel="00000000" w:rsidR="00000000" w:rsidRPr="00000000">
        <w:rPr>
          <w:b w:val="1"/>
          <w:rtl w:val="0"/>
        </w:rPr>
        <w:t xml:space="preserve">Regulatory Risk</w:t>
      </w:r>
      <w:r w:rsidDel="00000000" w:rsidR="00000000" w:rsidRPr="00000000">
        <w:rPr>
          <w:rtl w:val="0"/>
        </w:rPr>
        <w:t xml:space="preserve">: The project must comply with SEC regulations under Regulation Crowdfunding (Reg CF), which includes reporting and disclosure requirements.</w:t>
      </w:r>
    </w:p>
    <w:p w:rsidR="00000000" w:rsidDel="00000000" w:rsidP="00000000" w:rsidRDefault="00000000" w:rsidRPr="00000000" w14:paraId="0000003F">
      <w:pPr>
        <w:pStyle w:val="Heading4"/>
        <w:keepNext w:val="0"/>
        <w:keepLines w:val="0"/>
        <w:spacing w:after="40" w:before="240" w:lineRule="auto"/>
        <w:ind w:left="720" w:hanging="360"/>
        <w:rPr>
          <w:b w:val="1"/>
          <w:color w:val="000000"/>
          <w:sz w:val="22"/>
          <w:szCs w:val="22"/>
        </w:rPr>
      </w:pPr>
      <w:bookmarkStart w:colFirst="0" w:colLast="0" w:name="_q0vsgxt21b6n" w:id="14"/>
      <w:bookmarkEnd w:id="14"/>
      <w:r w:rsidDel="00000000" w:rsidR="00000000" w:rsidRPr="00000000">
        <w:rPr>
          <w:b w:val="1"/>
          <w:color w:val="000000"/>
          <w:sz w:val="22"/>
          <w:szCs w:val="22"/>
          <w:rtl w:val="0"/>
        </w:rPr>
        <w:t xml:space="preserve">9. Offering Terms</w:t>
      </w:r>
    </w:p>
    <w:p w:rsidR="00000000" w:rsidDel="00000000" w:rsidP="00000000" w:rsidRDefault="00000000" w:rsidRPr="00000000" w14:paraId="00000040">
      <w:pPr>
        <w:numPr>
          <w:ilvl w:val="0"/>
          <w:numId w:val="2"/>
        </w:numPr>
        <w:spacing w:after="0" w:afterAutospacing="0" w:before="240" w:lineRule="auto"/>
        <w:ind w:left="720" w:hanging="360"/>
      </w:pPr>
      <w:r w:rsidDel="00000000" w:rsidR="00000000" w:rsidRPr="00000000">
        <w:rPr>
          <w:b w:val="1"/>
          <w:rtl w:val="0"/>
        </w:rPr>
        <w:t xml:space="preserve">Security Type</w:t>
      </w:r>
      <w:r w:rsidDel="00000000" w:rsidR="00000000" w:rsidRPr="00000000">
        <w:rPr>
          <w:rtl w:val="0"/>
        </w:rPr>
        <w:t xml:space="preserve">: Membership interests in 1010 Randolph Avenue LLC</w:t>
      </w:r>
    </w:p>
    <w:p w:rsidR="00000000" w:rsidDel="00000000" w:rsidP="00000000" w:rsidRDefault="00000000" w:rsidRPr="00000000" w14:paraId="00000041">
      <w:pPr>
        <w:numPr>
          <w:ilvl w:val="0"/>
          <w:numId w:val="2"/>
        </w:numPr>
        <w:spacing w:after="0" w:afterAutospacing="0" w:before="0" w:beforeAutospacing="0" w:lineRule="auto"/>
        <w:ind w:left="720" w:hanging="360"/>
      </w:pPr>
      <w:r w:rsidDel="00000000" w:rsidR="00000000" w:rsidRPr="00000000">
        <w:rPr>
          <w:b w:val="1"/>
          <w:rtl w:val="0"/>
        </w:rPr>
        <w:t xml:space="preserve">Offering Structure</w:t>
      </w:r>
      <w:r w:rsidDel="00000000" w:rsidR="00000000" w:rsidRPr="00000000">
        <w:rPr>
          <w:rtl w:val="0"/>
        </w:rPr>
        <w:t xml:space="preserve">: This offering is conducted under Regulation Crowdfunding (Reg CF), allowing both accredited and non-accredited investors to participate within their legal investment limits.</w:t>
      </w:r>
    </w:p>
    <w:p w:rsidR="00000000" w:rsidDel="00000000" w:rsidP="00000000" w:rsidRDefault="00000000" w:rsidRPr="00000000" w14:paraId="00000042">
      <w:pPr>
        <w:numPr>
          <w:ilvl w:val="0"/>
          <w:numId w:val="2"/>
        </w:numPr>
        <w:spacing w:after="0" w:afterAutospacing="0" w:before="0" w:beforeAutospacing="0" w:lineRule="auto"/>
        <w:ind w:left="720" w:hanging="360"/>
      </w:pPr>
      <w:r w:rsidDel="00000000" w:rsidR="00000000" w:rsidRPr="00000000">
        <w:rPr>
          <w:b w:val="1"/>
          <w:rtl w:val="0"/>
        </w:rPr>
        <w:t xml:space="preserve">Investor Suitability</w:t>
      </w:r>
      <w:r w:rsidDel="00000000" w:rsidR="00000000" w:rsidRPr="00000000">
        <w:rPr>
          <w:rtl w:val="0"/>
        </w:rPr>
        <w:t xml:space="preserve">:</w:t>
      </w:r>
    </w:p>
    <w:p w:rsidR="00000000" w:rsidDel="00000000" w:rsidP="00000000" w:rsidRDefault="00000000" w:rsidRPr="00000000" w14:paraId="00000043">
      <w:pPr>
        <w:numPr>
          <w:ilvl w:val="1"/>
          <w:numId w:val="2"/>
        </w:numPr>
        <w:spacing w:after="240" w:before="0" w:beforeAutospacing="0" w:lineRule="auto"/>
        <w:ind w:left="1440" w:hanging="360"/>
      </w:pPr>
      <w:r w:rsidDel="00000000" w:rsidR="00000000" w:rsidRPr="00000000">
        <w:rPr>
          <w:rtl w:val="0"/>
        </w:rPr>
        <w:t xml:space="preserve">Non-accredited investors may invest no more than 5% of their annual income or net worth if both are under $107,000, and no more than 10% if either is over that amount, subject to an annual limit of $107,000.</w:t>
      </w:r>
    </w:p>
    <w:p w:rsidR="00000000" w:rsidDel="00000000" w:rsidP="00000000" w:rsidRDefault="00000000" w:rsidRPr="00000000" w14:paraId="00000044">
      <w:pPr>
        <w:pStyle w:val="Heading4"/>
        <w:keepNext w:val="0"/>
        <w:keepLines w:val="0"/>
        <w:spacing w:after="40" w:before="240" w:lineRule="auto"/>
        <w:ind w:left="720" w:hanging="360"/>
        <w:rPr>
          <w:b w:val="1"/>
          <w:color w:val="000000"/>
          <w:sz w:val="22"/>
          <w:szCs w:val="22"/>
        </w:rPr>
      </w:pPr>
      <w:bookmarkStart w:colFirst="0" w:colLast="0" w:name="_dd664kt0izgx" w:id="15"/>
      <w:bookmarkEnd w:id="15"/>
      <w:r w:rsidDel="00000000" w:rsidR="00000000" w:rsidRPr="00000000">
        <w:rPr>
          <w:b w:val="1"/>
          <w:color w:val="000000"/>
          <w:sz w:val="22"/>
          <w:szCs w:val="22"/>
          <w:rtl w:val="0"/>
        </w:rPr>
        <w:t xml:space="preserve">10. Legal Disclosures</w:t>
      </w:r>
    </w:p>
    <w:p w:rsidR="00000000" w:rsidDel="00000000" w:rsidP="00000000" w:rsidRDefault="00000000" w:rsidRPr="00000000" w14:paraId="00000045">
      <w:pPr>
        <w:numPr>
          <w:ilvl w:val="0"/>
          <w:numId w:val="12"/>
        </w:numPr>
        <w:spacing w:after="0" w:afterAutospacing="0" w:before="240" w:lineRule="auto"/>
        <w:ind w:left="720" w:hanging="360"/>
      </w:pPr>
      <w:r w:rsidDel="00000000" w:rsidR="00000000" w:rsidRPr="00000000">
        <w:rPr>
          <w:b w:val="1"/>
          <w:rtl w:val="0"/>
        </w:rPr>
        <w:t xml:space="preserve">Use of Funding Portal</w:t>
      </w:r>
      <w:r w:rsidDel="00000000" w:rsidR="00000000" w:rsidRPr="00000000">
        <w:rPr>
          <w:rtl w:val="0"/>
        </w:rPr>
        <w:t xml:space="preserve">: The offering will be conducted via an SEC-registered funding portal, which will manage investor communications, compliance checks, and documentation. All necessary information will be provided through the portal, and any material updates will be disclosed​.</w:t>
      </w:r>
    </w:p>
    <w:p w:rsidR="00000000" w:rsidDel="00000000" w:rsidP="00000000" w:rsidRDefault="00000000" w:rsidRPr="00000000" w14:paraId="00000046">
      <w:pPr>
        <w:numPr>
          <w:ilvl w:val="0"/>
          <w:numId w:val="12"/>
        </w:numPr>
        <w:spacing w:after="240" w:before="0" w:beforeAutospacing="0" w:lineRule="auto"/>
        <w:ind w:left="720" w:hanging="360"/>
      </w:pPr>
      <w:r w:rsidDel="00000000" w:rsidR="00000000" w:rsidRPr="00000000">
        <w:rPr>
          <w:b w:val="1"/>
          <w:rtl w:val="0"/>
        </w:rPr>
        <w:t xml:space="preserve">Conflict of Interest</w:t>
      </w:r>
      <w:r w:rsidDel="00000000" w:rsidR="00000000" w:rsidRPr="00000000">
        <w:rPr>
          <w:rtl w:val="0"/>
        </w:rPr>
        <w:t xml:space="preserve">: Cody Journell, the sponsor, may engage affiliated entities for services related to the project, such as property management or construction. Any such relationships will be disclosed in advance.</w:t>
      </w:r>
    </w:p>
    <w:p w:rsidR="00000000" w:rsidDel="00000000" w:rsidP="00000000" w:rsidRDefault="00000000" w:rsidRPr="00000000" w14:paraId="00000047">
      <w:pPr>
        <w:pStyle w:val="Heading4"/>
        <w:keepNext w:val="0"/>
        <w:keepLines w:val="0"/>
        <w:spacing w:after="40" w:before="240" w:lineRule="auto"/>
        <w:ind w:left="720" w:hanging="360"/>
        <w:rPr>
          <w:b w:val="1"/>
          <w:color w:val="000000"/>
          <w:sz w:val="22"/>
          <w:szCs w:val="22"/>
        </w:rPr>
      </w:pPr>
      <w:bookmarkStart w:colFirst="0" w:colLast="0" w:name="_czj80lsp9l98" w:id="16"/>
      <w:bookmarkEnd w:id="16"/>
      <w:r w:rsidDel="00000000" w:rsidR="00000000" w:rsidRPr="00000000">
        <w:rPr>
          <w:b w:val="1"/>
          <w:color w:val="000000"/>
          <w:sz w:val="22"/>
          <w:szCs w:val="22"/>
          <w:rtl w:val="0"/>
        </w:rPr>
        <w:t xml:space="preserve">11. Subscription Information</w:t>
      </w:r>
    </w:p>
    <w:p w:rsidR="00000000" w:rsidDel="00000000" w:rsidP="00000000" w:rsidRDefault="00000000" w:rsidRPr="00000000" w14:paraId="00000048">
      <w:pPr>
        <w:numPr>
          <w:ilvl w:val="0"/>
          <w:numId w:val="13"/>
        </w:numPr>
        <w:spacing w:after="0" w:afterAutospacing="0" w:before="240" w:lineRule="auto"/>
        <w:ind w:left="720" w:hanging="360"/>
      </w:pPr>
      <w:r w:rsidDel="00000000" w:rsidR="00000000" w:rsidRPr="00000000">
        <w:rPr>
          <w:b w:val="1"/>
          <w:rtl w:val="0"/>
        </w:rPr>
        <w:t xml:space="preserve">How to Invest</w:t>
      </w:r>
      <w:r w:rsidDel="00000000" w:rsidR="00000000" w:rsidRPr="00000000">
        <w:rPr>
          <w:rtl w:val="0"/>
        </w:rPr>
        <w:t xml:space="preserve">: Investors may participate by signing a subscription agreement through the funding portal and submitting their investment. Funds will be held in escrow until the offering reaches its target and closes.</w:t>
      </w:r>
    </w:p>
    <w:p w:rsidR="00000000" w:rsidDel="00000000" w:rsidP="00000000" w:rsidRDefault="00000000" w:rsidRPr="00000000" w14:paraId="00000049">
      <w:pPr>
        <w:numPr>
          <w:ilvl w:val="0"/>
          <w:numId w:val="13"/>
        </w:numPr>
        <w:spacing w:after="240" w:before="0" w:beforeAutospacing="0" w:lineRule="auto"/>
        <w:ind w:left="720" w:hanging="360"/>
      </w:pPr>
      <w:r w:rsidDel="00000000" w:rsidR="00000000" w:rsidRPr="00000000">
        <w:rPr>
          <w:b w:val="1"/>
          <w:rtl w:val="0"/>
        </w:rPr>
        <w:t xml:space="preserve">Escrow Agent</w:t>
      </w:r>
      <w:r w:rsidDel="00000000" w:rsidR="00000000" w:rsidRPr="00000000">
        <w:rPr>
          <w:rtl w:val="0"/>
        </w:rPr>
        <w:t xml:space="preserve">: NCIT LLC</w:t>
      </w:r>
    </w:p>
    <w:p w:rsidR="00000000" w:rsidDel="00000000" w:rsidP="00000000" w:rsidRDefault="00000000" w:rsidRPr="00000000" w14:paraId="0000004A">
      <w:pPr>
        <w:pStyle w:val="Heading4"/>
        <w:keepNext w:val="0"/>
        <w:keepLines w:val="0"/>
        <w:spacing w:after="40" w:before="240" w:lineRule="auto"/>
        <w:ind w:left="720" w:hanging="360"/>
        <w:rPr>
          <w:b w:val="1"/>
          <w:color w:val="000000"/>
          <w:sz w:val="22"/>
          <w:szCs w:val="22"/>
        </w:rPr>
      </w:pPr>
      <w:bookmarkStart w:colFirst="0" w:colLast="0" w:name="_x6vhgwy5og0a" w:id="17"/>
      <w:bookmarkEnd w:id="17"/>
      <w:r w:rsidDel="00000000" w:rsidR="00000000" w:rsidRPr="00000000">
        <w:rPr>
          <w:b w:val="1"/>
          <w:color w:val="000000"/>
          <w:sz w:val="22"/>
          <w:szCs w:val="22"/>
          <w:rtl w:val="0"/>
        </w:rPr>
        <w:t xml:space="preserve">12. Appendices</w:t>
      </w:r>
    </w:p>
    <w:p w:rsidR="00000000" w:rsidDel="00000000" w:rsidP="00000000" w:rsidRDefault="00000000" w:rsidRPr="00000000" w14:paraId="0000004B">
      <w:pPr>
        <w:numPr>
          <w:ilvl w:val="0"/>
          <w:numId w:val="17"/>
        </w:numPr>
        <w:spacing w:after="0" w:afterAutospacing="0" w:before="240" w:lineRule="auto"/>
        <w:ind w:left="720" w:hanging="360"/>
      </w:pPr>
      <w:r w:rsidDel="00000000" w:rsidR="00000000" w:rsidRPr="00000000">
        <w:rPr>
          <w:b w:val="1"/>
          <w:rtl w:val="0"/>
        </w:rPr>
        <w:t xml:space="preserve">Operating Agreement</w:t>
      </w:r>
      <w:r w:rsidDel="00000000" w:rsidR="00000000" w:rsidRPr="00000000">
        <w:rPr>
          <w:rtl w:val="0"/>
        </w:rPr>
        <w:t xml:space="preserve">: A copy of the LLC’s operating agreement is available for review.</w:t>
      </w:r>
    </w:p>
    <w:p w:rsidR="00000000" w:rsidDel="00000000" w:rsidP="00000000" w:rsidRDefault="00000000" w:rsidRPr="00000000" w14:paraId="0000004C">
      <w:pPr>
        <w:numPr>
          <w:ilvl w:val="0"/>
          <w:numId w:val="17"/>
        </w:numPr>
        <w:spacing w:after="0" w:afterAutospacing="0" w:before="0" w:beforeAutospacing="0" w:lineRule="auto"/>
        <w:ind w:left="720" w:hanging="360"/>
      </w:pPr>
      <w:r w:rsidDel="00000000" w:rsidR="00000000" w:rsidRPr="00000000">
        <w:rPr>
          <w:b w:val="1"/>
          <w:rtl w:val="0"/>
        </w:rPr>
        <w:t xml:space="preserve">Pro Forma Financials</w:t>
      </w:r>
      <w:r w:rsidDel="00000000" w:rsidR="00000000" w:rsidRPr="00000000">
        <w:rPr>
          <w:rtl w:val="0"/>
        </w:rPr>
        <w:t xml:space="preserve">: Detailed year-by-year projections and assumptions are included.</w:t>
      </w:r>
    </w:p>
    <w:p w:rsidR="00000000" w:rsidDel="00000000" w:rsidP="00000000" w:rsidRDefault="00000000" w:rsidRPr="00000000" w14:paraId="0000004D">
      <w:pPr>
        <w:numPr>
          <w:ilvl w:val="0"/>
          <w:numId w:val="17"/>
        </w:numPr>
        <w:spacing w:after="240" w:before="0" w:beforeAutospacing="0" w:lineRule="auto"/>
        <w:ind w:left="720" w:hanging="360"/>
      </w:pPr>
      <w:r w:rsidDel="00000000" w:rsidR="00000000" w:rsidRPr="00000000">
        <w:rPr>
          <w:b w:val="1"/>
          <w:rtl w:val="0"/>
        </w:rPr>
        <w:t xml:space="preserve">Subscription Agreement</w:t>
      </w:r>
      <w:r w:rsidDel="00000000" w:rsidR="00000000" w:rsidRPr="00000000">
        <w:rPr>
          <w:rtl w:val="0"/>
        </w:rPr>
        <w:t xml:space="preserve">: The subscription agreement outlines the terms and conditions of investor participation.</w:t>
      </w:r>
    </w:p>
    <w:p w:rsidR="00000000" w:rsidDel="00000000" w:rsidP="00000000" w:rsidRDefault="00000000" w:rsidRPr="00000000" w14:paraId="0000004E">
      <w:pPr>
        <w:spacing w:after="240" w:before="240" w:lineRule="auto"/>
        <w:ind w:left="720" w:firstLine="0"/>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